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240" w:after="0"/>
        <w:jc w:val="center"/>
        <w:rPr>
          <w:b/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</w:r>
    </w:p>
    <w:p>
      <w:pPr>
        <w:pStyle w:val="Ttulo1"/>
        <w:jc w:val="center"/>
        <w:rPr>
          <w:b/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LISTA DE VERIFICAÇÃO </w:t>
      </w:r>
    </w:p>
    <w:p>
      <w:pPr>
        <w:pStyle w:val="Ttulo1"/>
        <w:jc w:val="center"/>
        <w:rPr>
          <w:b/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ANTES DE ENVIAR PARA </w:t>
      </w:r>
      <w:r>
        <w:rPr>
          <w:rFonts w:eastAsia="" w:cs=""/>
          <w:b/>
          <w:bCs/>
          <w:color w:val="auto"/>
          <w:kern w:val="0"/>
          <w:sz w:val="32"/>
          <w:szCs w:val="32"/>
          <w:u w:val="single"/>
          <w:lang w:val="pt-BR" w:eastAsia="en-US" w:bidi="ar-SA"/>
        </w:rPr>
        <w:t>A COORDENADORIA DE COMPRAS</w:t>
      </w:r>
    </w:p>
    <w:p>
      <w:pPr>
        <w:pStyle w:val="Normal"/>
        <w:jc w:val="center"/>
        <w:rPr>
          <w:b/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</w:r>
    </w:p>
    <w:tbl>
      <w:tblPr>
        <w:tblStyle w:val="Tabelacomgrade"/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"/>
        <w:gridCol w:w="8776"/>
        <w:gridCol w:w="994"/>
      </w:tblGrid>
      <w:tr>
        <w:trPr/>
        <w:tc>
          <w:tcPr>
            <w:tcW w:w="9212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Calibri" w:hAnsi="Calibri" w:eastAsia="Calibri" w:cs="Calibri"/>
                <w:b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 xml:space="preserve">ESTUDO TÉCNICO PRELIMINAR – ETP </w:t>
            </w:r>
          </w:p>
        </w:tc>
        <w:tc>
          <w:tcPr>
            <w:tcW w:w="994" w:type="dxa"/>
            <w:vMerge w:val="restart"/>
            <w:tcBorders/>
            <w:shd w:fill="FBE4D5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t-BR" w:eastAsia="en-US" w:bidi="ar-SA"/>
              </w:rPr>
              <w:t>PÁGINA</w:t>
            </w:r>
          </w:p>
        </w:tc>
      </w:tr>
      <w:tr>
        <w:trPr/>
        <w:tc>
          <w:tcPr>
            <w:tcW w:w="9212" w:type="dxa"/>
            <w:gridSpan w:val="2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color w:val="0000FF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color w:val="0000FF"/>
                <w:kern w:val="0"/>
                <w:sz w:val="22"/>
                <w:szCs w:val="22"/>
                <w:u w:val="single"/>
                <w:lang w:val="pt-BR" w:eastAsia="en-US" w:bidi="ar-SA"/>
              </w:rPr>
              <w:t>Art 18 § 1º  da Lei 14.133 e Art. 8º da IN 002/2023</w:t>
            </w:r>
            <w:r>
              <w:rPr>
                <w:rFonts w:eastAsia="Calibri" w:cs="Calibri" w:cstheme="minorHAnsi"/>
                <w:color w:val="0000FF"/>
                <w:kern w:val="0"/>
                <w:sz w:val="22"/>
                <w:szCs w:val="22"/>
                <w:lang w:val="pt-BR" w:eastAsia="en-US" w:bidi="ar-SA"/>
              </w:rPr>
              <w:t xml:space="preserve"> - </w:t>
            </w:r>
            <w:r>
              <w:rPr>
                <w:rFonts w:eastAsia="Calibri" w:cs="Calibri" w:cstheme="minorHAnsi"/>
                <w:color w:val="auto"/>
                <w:kern w:val="0"/>
                <w:sz w:val="22"/>
                <w:szCs w:val="22"/>
                <w:lang w:val="pt-BR" w:eastAsia="en-US" w:bidi="ar-SA"/>
              </w:rPr>
              <w:t xml:space="preserve">O Estudo Técnico Preliminar deverá evidenciar o problema a ser resolvido e a sua melhor solução, de modo a permitir a avaliação da viabilidade técnica e econômica da contratação, e conterá os seguintes elementos: </w:t>
            </w:r>
          </w:p>
        </w:tc>
        <w:tc>
          <w:tcPr>
            <w:tcW w:w="994" w:type="dxa"/>
            <w:vMerge w:val="continue"/>
            <w:tcBorders>
              <w:top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I - descrição da necessidade da contratação, considerado o problema a ser resolvido sob a perspectiva do interesse público.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2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II - demonstração da previsão da contratação no plano de contratações anual-PCA, sempre que elaborado, de modo a indicar o seu alinhamento com o planejamento da Administração.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III - requisitos da contratação.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IV - 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V - levantamento de mercado, que consiste na análise das alternativas possíveis, e justificativa técnica e econômica da escolha do tipo de solução a contratar.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6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VI -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7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VII - descrição da solução como um todo, inclusive das exigências relacionadas à manutenção e à assistência técnica, quando for o caso.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8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VIII - justificativas para o parcelamento ou não da contratação.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9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IX - demonstrativo dos resultados pretendidos em termos de economicidade e de melhor aproveitamento dos recursos humanos, materiais e financeiros disponíveis.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10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X - providências a serem adotadas pela Administração previamente à celebração do contrato, inclusive quanto à capacitação de servidores ou de empregados para fiscalização e gestão contratual.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11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XI - contratações correlatas e/ou interdependentes.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12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XII - descrição de possíveis impactos ambientais e respectivas medidas mitigadoras, incluídos requisitos de baixo consumo de energia e de outros recursos, bem como logística reversa para desfazimento e reciclagem de bens e refugos, quando aplicável;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13</w:t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XIII - posicionamento conclusivo sobre a adequação da contratação para o atendimento da necessidade a que se destina. Declaração de viabilidade da solução escolhida.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>
              <w:top w:val="nil"/>
            </w:tcBorders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en-US" w:bidi="ar-SA"/>
              </w:rPr>
              <w:t>14</w:t>
            </w:r>
          </w:p>
        </w:tc>
        <w:tc>
          <w:tcPr>
            <w:tcW w:w="87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en-US" w:bidi="ar-SA"/>
              </w:rPr>
              <w:t>XIV – descrição dos locais de entrega e montagem dos equipamentos e serviços.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36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-108" w:right="-93" w:hanging="0"/>
              <w:jc w:val="center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Calibri"/>
                <w:i/>
                <w:i/>
                <w:i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t-BR" w:eastAsia="en-US" w:bidi="ar-SA"/>
              </w:rPr>
              <w:t>§ 2º O Estudo Técnico Preliminar deverá conter ao menos os elementos previstos nos incisos I, IV, VI, VIII e XIII do § 1º deste artigo e, quando não contemplar os demais elementos previstos no referido parágrafo, apresentar as devidas justificativas.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Ttulo1"/>
        <w:jc w:val="center"/>
        <w:rPr>
          <w:b/>
          <w:b/>
          <w:bCs/>
          <w:color w:val="auto"/>
          <w:u w:val="single"/>
        </w:rPr>
      </w:pPr>
      <w:r>
        <w:rPr/>
      </w:r>
    </w:p>
    <w:sectPr>
      <w:type w:val="nextPage"/>
      <w:pgSz w:w="11906" w:h="16838"/>
      <w:pgMar w:left="851" w:right="1274" w:header="0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109a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109a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109a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1171ae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4770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47700"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477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477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d7a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B767-71F1-4CE6-B1F0-2A936200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Application>LibreOffice/7.0.2.2$Windows_X86_64 LibreOffice_project/8349ace3c3162073abd90d81fd06dcfb6b36b994</Application>
  <Pages>2</Pages>
  <Words>429</Words>
  <Characters>2323</Characters>
  <CharactersWithSpaces>2724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2024-07-05T16:00:00Z</dcterms:created>
  <dc:creator>Prefeitura Bagé</dc:creator>
  <dc:description/>
  <dc:language>pt-BR</dc:language>
  <cp:lastModifiedBy/>
  <dcterms:modified xsi:type="dcterms:W3CDTF">2024-11-01T16:15:33Z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